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7507B6" w:rsidTr="007507B6">
        <w:trPr>
          <w:trHeight w:val="567"/>
        </w:trPr>
        <w:tc>
          <w:tcPr>
            <w:tcW w:w="4253" w:type="dxa"/>
            <w:hideMark/>
          </w:tcPr>
          <w:p w:rsidR="007507B6" w:rsidRDefault="007507B6">
            <w:pPr>
              <w:ind w:left="-57" w:right="-113"/>
              <w:jc w:val="center"/>
              <w:rPr>
                <w:sz w:val="24"/>
                <w:szCs w:val="24"/>
                <w:lang w:val="de-DE"/>
              </w:rPr>
            </w:pPr>
            <w:r>
              <w:rPr>
                <w:lang w:val="de-DE"/>
              </w:rPr>
              <w:t>BỘ GIÁO DỤC VÀ ĐÀO TẠO</w:t>
            </w:r>
          </w:p>
          <w:p w:rsidR="007507B6" w:rsidRDefault="007507B6">
            <w:pPr>
              <w:keepNext/>
              <w:ind w:left="-57" w:right="-113"/>
              <w:jc w:val="center"/>
              <w:outlineLvl w:val="0"/>
              <w:rPr>
                <w:b/>
                <w:bCs/>
                <w:color w:val="000000"/>
                <w:szCs w:val="26"/>
                <w:lang w:val="de-DE"/>
              </w:rPr>
            </w:pPr>
            <w:r>
              <w:rPr>
                <w:b/>
                <w:bCs/>
                <w:color w:val="000000"/>
                <w:szCs w:val="26"/>
                <w:lang w:val="de-DE"/>
              </w:rPr>
              <w:t>TRƯỜNG ĐHDL PHƯƠNG ĐÔNG</w:t>
            </w:r>
          </w:p>
          <w:p w:rsidR="007507B6" w:rsidRDefault="007507B6">
            <w:pPr>
              <w:ind w:left="-57" w:right="-113"/>
              <w:jc w:val="center"/>
              <w:rPr>
                <w:sz w:val="28"/>
                <w:szCs w:val="28"/>
                <w:lang w:val="de-DE"/>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xCK3pjSsgolI7G4qjZ/Vitpp+d0jpqiXqwCPF14uBvCxkJG9SwsYZuGDff9EMYsjR69in&#10;c2O7AAkdQOcox+UuBz97ROEwy7NsOgfV6OBLSDEkGuv8Z647FIwSSyAdgclp63wgQoohJNyj9EZI&#10;GdWWCvUlXkzzaUxwWgoWnCHM2cO+khadSJiX+MWqwPMYZvVRsQjWcsLWN9sTIa82XC5VwINSgM7N&#10;ug7Ej0W6WM/X88loks/Wo0la16NPm2oymm2yj9P6Q11VdfYzUMsmRSsY4yqwG4Yzm/yd+Ldnch2r&#10;+3je25C8RY/9ArLDP5KOWgb5roOw1+yys4PGMI8x+PZ2wsA/7sF+fOGrX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HKlHHhMC&#10;AAApBAAADgAAAAAAAAAAAAAAAAAuAgAAZHJzL2Uyb0RvYy54bWxQSwECLQAUAAYACAAAACEAnZyx&#10;ddkAAAAHAQAADwAAAAAAAAAAAAAAAABtBAAAZHJzL2Rvd25yZXYueG1sUEsFBgAAAAAEAAQA8wAA&#10;AHMFAAAAAA==&#10;"/>
                  </w:pict>
                </mc:Fallback>
              </mc:AlternateContent>
            </w:r>
          </w:p>
        </w:tc>
        <w:tc>
          <w:tcPr>
            <w:tcW w:w="5528" w:type="dxa"/>
            <w:hideMark/>
          </w:tcPr>
          <w:p w:rsidR="007507B6" w:rsidRDefault="007507B6">
            <w:pPr>
              <w:ind w:left="-57" w:right="-113"/>
              <w:jc w:val="center"/>
              <w:rPr>
                <w:b/>
                <w:sz w:val="24"/>
                <w:szCs w:val="24"/>
              </w:rPr>
            </w:pPr>
            <w:r>
              <w:rPr>
                <w:b/>
              </w:rPr>
              <w:t>CỘNG HOÀ XÃ HỘI CHỦ NGHĨA VIỆT NAM</w:t>
            </w:r>
          </w:p>
          <w:p w:rsidR="007507B6" w:rsidRDefault="007507B6">
            <w:pPr>
              <w:ind w:left="-57" w:right="-113"/>
              <w:jc w:val="center"/>
              <w:rPr>
                <w:b/>
                <w:bCs/>
                <w:sz w:val="28"/>
                <w:szCs w:val="28"/>
              </w:rPr>
            </w:pPr>
            <w:r>
              <w:rPr>
                <w:b/>
                <w:bCs/>
                <w:sz w:val="28"/>
                <w:szCs w:val="28"/>
              </w:rPr>
              <w:t>Độc lập - Tự do - Hạnh phúc</w:t>
            </w:r>
          </w:p>
          <w:p w:rsidR="007507B6" w:rsidRDefault="007507B6">
            <w:pPr>
              <w:ind w:left="-57" w:right="-113"/>
              <w:jc w:val="center"/>
              <w:rPr>
                <w:sz w:val="28"/>
                <w:szCs w:val="2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3moTW9cQVEVGpnQ3H0rF7MVtPvDildtUQdeKT4ejGQl4WM5E1K2DgDF+z7L5pBDDl6Hft0&#10;bmwXIKED6BzluNzl4GePKBxOoCXTfIoRHXwJKYZEY53/zHWHglFiCaQjMDltnQ9ESDGEhHuU3ggp&#10;o9pSob7Ei+lkGhOcloIFZwhz9rCvpEUnEuYlfrEq8DyGWX1ULIK1nLD1zfZEyKsNl0sV8KAUoHOz&#10;rgPxY5Eu1vP1PB/lk9l6lKd1Pfq0qfLRbJN9nNYf6qqqs5+BWpYXrWCMq8BuGM4s/zvxb8/kOlb3&#10;8by3IXmLHvsFZId/JB21DPJdB2Gv2WVnB41hHmPw7e2EgX/cg/34wle/AAAA//8DAFBLAwQUAAYA&#10;CAAAACEAKTjzPdoAAAAGAQAADwAAAGRycy9kb3ducmV2LnhtbEyOwU7DMBBE70j9B2uRuFTUToka&#10;FOJUFZAbF0oR1228JBHxOo3dNvD1GC5wHM3ozSvWk+3FiUbfOdaQLBQI4tqZjhsNu5fq+haED8gG&#10;e8ek4ZM8rMvZRYG5cWd+ptM2NCJC2OeooQ1hyKX0dUsW/cINxLF7d6PFEOPYSDPiOcJtL5dKraTF&#10;juNDiwPdt1R/bI9Wg69e6VB9zeu5ertpHC0PD0+PqPXV5bS5AxFoCn9j+NGP6lBGp707svGi15Cp&#10;LC41pAmIWKdJloLY/2ZZFvK/fvkNAAD//wMAUEsBAi0AFAAGAAgAAAAhALaDOJL+AAAA4QEAABMA&#10;AAAAAAAAAAAAAAAAAAAAAFtDb250ZW50X1R5cGVzXS54bWxQSwECLQAUAAYACAAAACEAOP0h/9YA&#10;AACUAQAACwAAAAAAAAAAAAAAAAAvAQAAX3JlbHMvLnJlbHNQSwECLQAUAAYACAAAACEAk5lKrRIC&#10;AAApBAAADgAAAAAAAAAAAAAAAAAuAgAAZHJzL2Uyb0RvYy54bWxQSwECLQAUAAYACAAAACEAKTjz&#10;PdoAAAAGAQAADwAAAAAAAAAAAAAAAABsBAAAZHJzL2Rvd25yZXYueG1sUEsFBgAAAAAEAAQA8wAA&#10;AHMFAAAAAA==&#10;"/>
                  </w:pict>
                </mc:Fallback>
              </mc:AlternateContent>
            </w:r>
          </w:p>
        </w:tc>
      </w:tr>
    </w:tbl>
    <w:p w:rsidR="007507B6" w:rsidRDefault="007507B6" w:rsidP="007507B6">
      <w:pPr>
        <w:spacing w:before="120"/>
        <w:jc w:val="center"/>
        <w:rPr>
          <w:b/>
          <w:bCs/>
          <w:sz w:val="28"/>
          <w:szCs w:val="28"/>
        </w:rPr>
      </w:pPr>
    </w:p>
    <w:p w:rsidR="007507B6" w:rsidRDefault="007507B6" w:rsidP="007507B6">
      <w:pPr>
        <w:spacing w:before="120"/>
        <w:jc w:val="center"/>
        <w:rPr>
          <w:b/>
          <w:bCs/>
          <w:sz w:val="30"/>
          <w:szCs w:val="30"/>
        </w:rPr>
      </w:pPr>
      <w:r>
        <w:rPr>
          <w:b/>
          <w:bCs/>
          <w:sz w:val="30"/>
          <w:szCs w:val="30"/>
        </w:rPr>
        <w:t>QUY CHẾ</w:t>
      </w:r>
    </w:p>
    <w:p w:rsidR="007507B6" w:rsidRDefault="007507B6" w:rsidP="007507B6">
      <w:pPr>
        <w:spacing w:before="120"/>
        <w:jc w:val="center"/>
        <w:rPr>
          <w:b/>
          <w:bCs/>
          <w:sz w:val="28"/>
          <w:szCs w:val="28"/>
        </w:rPr>
      </w:pPr>
      <w:r>
        <w:rPr>
          <w:b/>
          <w:bCs/>
          <w:sz w:val="28"/>
          <w:szCs w:val="28"/>
        </w:rPr>
        <w:t>Đào tạo đại học và cao đẳng hệ chính quy theo hệ thống tín chỉ</w:t>
      </w:r>
    </w:p>
    <w:p w:rsidR="007507B6" w:rsidRDefault="007507B6" w:rsidP="007507B6">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7507B6" w:rsidRDefault="007507B6" w:rsidP="007507B6">
      <w:pPr>
        <w:spacing w:before="240" w:after="240"/>
        <w:ind w:firstLine="567"/>
        <w:jc w:val="both"/>
        <w:rPr>
          <w:b/>
          <w:bCs/>
          <w:sz w:val="28"/>
          <w:szCs w:val="28"/>
        </w:rPr>
      </w:pPr>
    </w:p>
    <w:p w:rsidR="00A335D2" w:rsidRDefault="00A335D2" w:rsidP="007507B6">
      <w:pPr>
        <w:spacing w:before="240" w:after="240"/>
        <w:ind w:firstLine="567"/>
        <w:jc w:val="both"/>
        <w:rPr>
          <w:b/>
          <w:bCs/>
          <w:sz w:val="28"/>
          <w:szCs w:val="28"/>
        </w:rPr>
      </w:pPr>
      <w:bookmarkStart w:id="0" w:name="_GoBack"/>
      <w:bookmarkEnd w:id="0"/>
    </w:p>
    <w:p w:rsidR="00C704EC" w:rsidRDefault="00C704EC" w:rsidP="00C704EC">
      <w:pPr>
        <w:spacing w:before="200" w:after="200"/>
        <w:ind w:firstLine="567"/>
        <w:jc w:val="both"/>
        <w:rPr>
          <w:b/>
          <w:bCs/>
          <w:sz w:val="28"/>
          <w:szCs w:val="28"/>
        </w:rPr>
      </w:pPr>
      <w:r>
        <w:rPr>
          <w:b/>
          <w:bCs/>
          <w:sz w:val="28"/>
          <w:szCs w:val="28"/>
        </w:rPr>
        <w:t>Điều 17. Học cùng lúc hai chương trình</w:t>
      </w:r>
    </w:p>
    <w:p w:rsidR="00C704EC" w:rsidRDefault="00C704EC" w:rsidP="00C704EC">
      <w:pPr>
        <w:spacing w:before="120"/>
        <w:ind w:firstLine="540"/>
        <w:jc w:val="both"/>
        <w:rPr>
          <w:sz w:val="28"/>
          <w:szCs w:val="24"/>
          <w:lang w:val="it-IT"/>
        </w:rPr>
      </w:pPr>
      <w:r>
        <w:rPr>
          <w:sz w:val="28"/>
          <w:szCs w:val="28"/>
          <w:lang w:val="it-IT"/>
        </w:rPr>
        <w:t xml:space="preserve">1. </w:t>
      </w:r>
      <w:r>
        <w:rPr>
          <w:sz w:val="28"/>
          <w:lang w:val="it-IT"/>
        </w:rPr>
        <w:t>Sinh viên Đại học Phương Đông nếu có đủ điều kiện theo quy định tại khoản 2 điều này và có nhu cầu, có thể đăng ký học thêm một chương trình thứ hai để khi tốt nghiệp được cấp hai văn bằng.</w:t>
      </w:r>
    </w:p>
    <w:p w:rsidR="00C704EC" w:rsidRDefault="00C704EC" w:rsidP="00C704EC">
      <w:pPr>
        <w:spacing w:before="120"/>
        <w:ind w:firstLine="567"/>
        <w:jc w:val="both"/>
        <w:rPr>
          <w:sz w:val="28"/>
          <w:szCs w:val="28"/>
          <w:lang w:val="it-IT"/>
        </w:rPr>
      </w:pPr>
      <w:r>
        <w:rPr>
          <w:sz w:val="28"/>
          <w:szCs w:val="28"/>
          <w:lang w:val="it-IT"/>
        </w:rPr>
        <w:t>2. Điều kiện để học cùng lúc hai chương trình:</w:t>
      </w:r>
    </w:p>
    <w:p w:rsidR="00C704EC" w:rsidRDefault="00C704EC" w:rsidP="00C704EC">
      <w:pPr>
        <w:spacing w:before="120"/>
        <w:ind w:firstLine="567"/>
        <w:jc w:val="both"/>
        <w:rPr>
          <w:sz w:val="28"/>
          <w:szCs w:val="28"/>
          <w:lang w:val="it-IT"/>
        </w:rPr>
      </w:pPr>
      <w:r>
        <w:rPr>
          <w:sz w:val="28"/>
          <w:szCs w:val="28"/>
          <w:lang w:val="it-IT"/>
        </w:rPr>
        <w:t>a) Ngành đào tạo chính ở chương trình thứ hai phải khác ngành đào tạo chính ở chương trình thứ nhất;</w:t>
      </w:r>
    </w:p>
    <w:p w:rsidR="00C704EC" w:rsidRDefault="00C704EC" w:rsidP="00C704EC">
      <w:pPr>
        <w:spacing w:before="120"/>
        <w:ind w:firstLine="567"/>
        <w:jc w:val="both"/>
        <w:rPr>
          <w:sz w:val="28"/>
          <w:szCs w:val="28"/>
          <w:lang w:val="it-IT"/>
        </w:rPr>
      </w:pPr>
      <w:r>
        <w:rPr>
          <w:sz w:val="28"/>
          <w:szCs w:val="28"/>
          <w:lang w:val="it-IT"/>
        </w:rPr>
        <w:t>b) Sau khi đã kết thúc học kỳ I năm học đầu tiên của chương trình thứ nhất và sinh viên không thuộc diện xếp hạng học lực yếu;</w:t>
      </w:r>
    </w:p>
    <w:p w:rsidR="00C704EC" w:rsidRDefault="00C704EC" w:rsidP="00C704EC">
      <w:pPr>
        <w:spacing w:before="120"/>
        <w:ind w:firstLine="567"/>
        <w:jc w:val="both"/>
        <w:rPr>
          <w:sz w:val="28"/>
          <w:szCs w:val="28"/>
          <w:lang w:val="it-IT"/>
        </w:rPr>
      </w:pPr>
      <w:r>
        <w:rPr>
          <w:sz w:val="28"/>
          <w:szCs w:val="28"/>
          <w:lang w:val="it-IT"/>
        </w:rPr>
        <w:t>c) Trong quá trình sinh viên học cùng lúc hai chương trình, nếu điểm trung bình chung học kỳ đạt dưới 2,00 thì phải dừng học thêm chương trình thứ hai ở học kỳ tiếp theo.</w:t>
      </w:r>
    </w:p>
    <w:p w:rsidR="00C704EC" w:rsidRDefault="00C704EC" w:rsidP="00C704EC">
      <w:pPr>
        <w:spacing w:before="120"/>
        <w:ind w:firstLine="567"/>
        <w:jc w:val="both"/>
        <w:rPr>
          <w:sz w:val="28"/>
          <w:szCs w:val="28"/>
          <w:lang w:val="it-IT"/>
        </w:rPr>
      </w:pPr>
      <w:r>
        <w:rPr>
          <w:sz w:val="28"/>
          <w:szCs w:val="28"/>
          <w:lang w:val="it-IT"/>
        </w:rPr>
        <w:t>3. Thời gian tối đa được phép học đối với sinh viên học cùng lúc hai chương trình là thời gian tối đa quy định cho chương trình thứ nhất, quy định tại mục b khoản 2 Điều 6 của Quy chế này. Khi học chương trình thứ hai, sinh viên được bảo lưu điểm của những học phần có nội dung và khối lượng kiến thức tương đương có trong chương trình thứ nhất.</w:t>
      </w:r>
    </w:p>
    <w:p w:rsidR="00C704EC" w:rsidRDefault="00C704EC" w:rsidP="00C704EC">
      <w:pPr>
        <w:spacing w:before="120"/>
        <w:ind w:firstLine="567"/>
        <w:jc w:val="both"/>
        <w:rPr>
          <w:sz w:val="28"/>
          <w:szCs w:val="28"/>
          <w:lang w:val="it-IT"/>
        </w:rPr>
      </w:pPr>
      <w:r>
        <w:rPr>
          <w:sz w:val="28"/>
          <w:szCs w:val="28"/>
          <w:lang w:val="it-IT"/>
        </w:rPr>
        <w:t>4. Sinh viên chỉ được xét tốt nghiệp chương trình thứ hai, nếu có đủ điều kiện tốt nghiệp ở chương trình thứ nhất.</w:t>
      </w:r>
    </w:p>
    <w:p w:rsidR="00C704EC" w:rsidRDefault="00C704EC" w:rsidP="007507B6">
      <w:pPr>
        <w:spacing w:before="240" w:after="240"/>
        <w:ind w:firstLine="567"/>
        <w:jc w:val="both"/>
        <w:rPr>
          <w:b/>
          <w:bCs/>
          <w:sz w:val="28"/>
          <w:szCs w:val="28"/>
        </w:rPr>
      </w:pPr>
    </w:p>
    <w:sectPr w:rsidR="00C704EC"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B6"/>
    <w:rsid w:val="0044421E"/>
    <w:rsid w:val="006439A1"/>
    <w:rsid w:val="007507B6"/>
    <w:rsid w:val="007E6EB7"/>
    <w:rsid w:val="00805147"/>
    <w:rsid w:val="009763B4"/>
    <w:rsid w:val="00A13C23"/>
    <w:rsid w:val="00A335D2"/>
    <w:rsid w:val="00C704E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818">
      <w:bodyDiv w:val="1"/>
      <w:marLeft w:val="0"/>
      <w:marRight w:val="0"/>
      <w:marTop w:val="0"/>
      <w:marBottom w:val="0"/>
      <w:divBdr>
        <w:top w:val="none" w:sz="0" w:space="0" w:color="auto"/>
        <w:left w:val="none" w:sz="0" w:space="0" w:color="auto"/>
        <w:bottom w:val="none" w:sz="0" w:space="0" w:color="auto"/>
        <w:right w:val="none" w:sz="0" w:space="0" w:color="auto"/>
      </w:divBdr>
    </w:div>
    <w:div w:id="1262835949">
      <w:bodyDiv w:val="1"/>
      <w:marLeft w:val="0"/>
      <w:marRight w:val="0"/>
      <w:marTop w:val="0"/>
      <w:marBottom w:val="0"/>
      <w:divBdr>
        <w:top w:val="none" w:sz="0" w:space="0" w:color="auto"/>
        <w:left w:val="none" w:sz="0" w:space="0" w:color="auto"/>
        <w:bottom w:val="none" w:sz="0" w:space="0" w:color="auto"/>
        <w:right w:val="none" w:sz="0" w:space="0" w:color="auto"/>
      </w:divBdr>
    </w:div>
    <w:div w:id="1718436455">
      <w:bodyDiv w:val="1"/>
      <w:marLeft w:val="0"/>
      <w:marRight w:val="0"/>
      <w:marTop w:val="0"/>
      <w:marBottom w:val="0"/>
      <w:divBdr>
        <w:top w:val="none" w:sz="0" w:space="0" w:color="auto"/>
        <w:left w:val="none" w:sz="0" w:space="0" w:color="auto"/>
        <w:bottom w:val="none" w:sz="0" w:space="0" w:color="auto"/>
        <w:right w:val="none" w:sz="0" w:space="0" w:color="auto"/>
      </w:divBdr>
    </w:div>
    <w:div w:id="1932617197">
      <w:bodyDiv w:val="1"/>
      <w:marLeft w:val="0"/>
      <w:marRight w:val="0"/>
      <w:marTop w:val="0"/>
      <w:marBottom w:val="0"/>
      <w:divBdr>
        <w:top w:val="none" w:sz="0" w:space="0" w:color="auto"/>
        <w:left w:val="none" w:sz="0" w:space="0" w:color="auto"/>
        <w:bottom w:val="none" w:sz="0" w:space="0" w:color="auto"/>
        <w:right w:val="none" w:sz="0" w:space="0" w:color="auto"/>
      </w:divBdr>
    </w:div>
    <w:div w:id="1962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4</cp:revision>
  <dcterms:created xsi:type="dcterms:W3CDTF">2015-01-27T14:52:00Z</dcterms:created>
  <dcterms:modified xsi:type="dcterms:W3CDTF">2015-01-27T14:53:00Z</dcterms:modified>
</cp:coreProperties>
</file>